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0D9" w:rsidRDefault="003730D9" w:rsidP="003730D9">
      <w:pPr>
        <w:pStyle w:val="NormalWeb"/>
        <w:spacing w:before="0" w:beforeAutospacing="0" w:after="0" w:afterAutospacing="0" w:line="480" w:lineRule="auto"/>
        <w:jc w:val="center"/>
        <w:rPr>
          <w:color w:val="1C1E29"/>
        </w:rPr>
      </w:pPr>
    </w:p>
    <w:p w:rsidR="003730D9" w:rsidRDefault="003730D9" w:rsidP="003730D9">
      <w:pPr>
        <w:pStyle w:val="NormalWeb"/>
        <w:spacing w:before="0" w:beforeAutospacing="0" w:after="0" w:afterAutospacing="0" w:line="480" w:lineRule="auto"/>
        <w:jc w:val="center"/>
        <w:rPr>
          <w:color w:val="1C1E29"/>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1120AA" w:rsidRPr="007F6BCE" w:rsidRDefault="003730D9" w:rsidP="003730D9">
      <w:pPr>
        <w:pStyle w:val="NormalWeb"/>
        <w:spacing w:before="0" w:beforeAutospacing="0" w:after="0" w:afterAutospacing="0" w:line="480" w:lineRule="auto"/>
        <w:jc w:val="center"/>
        <w:rPr>
          <w:color w:val="000000" w:themeColor="text1"/>
        </w:rPr>
      </w:pPr>
      <w:bookmarkStart w:id="0" w:name="_GoBack"/>
      <w:r w:rsidRPr="007F6BCE">
        <w:rPr>
          <w:color w:val="000000" w:themeColor="text1"/>
        </w:rPr>
        <w:t>Field Activity Paper</w:t>
      </w:r>
    </w:p>
    <w:bookmarkEnd w:id="0"/>
    <w:p w:rsidR="003730D9" w:rsidRPr="007F6BCE" w:rsidRDefault="003730D9" w:rsidP="003730D9">
      <w:pPr>
        <w:pStyle w:val="NormalWeb"/>
        <w:spacing w:before="0" w:beforeAutospacing="0" w:after="0" w:afterAutospacing="0" w:line="480" w:lineRule="auto"/>
        <w:jc w:val="center"/>
        <w:rPr>
          <w:color w:val="000000" w:themeColor="text1"/>
        </w:rPr>
      </w:pPr>
      <w:r w:rsidRPr="007F6BCE">
        <w:rPr>
          <w:color w:val="000000" w:themeColor="text1"/>
        </w:rPr>
        <w:t>Name</w:t>
      </w:r>
    </w:p>
    <w:p w:rsidR="003730D9" w:rsidRPr="007F6BCE" w:rsidRDefault="003730D9" w:rsidP="003730D9">
      <w:pPr>
        <w:pStyle w:val="NormalWeb"/>
        <w:spacing w:before="0" w:beforeAutospacing="0" w:after="0" w:afterAutospacing="0" w:line="480" w:lineRule="auto"/>
        <w:jc w:val="center"/>
        <w:rPr>
          <w:color w:val="000000" w:themeColor="text1"/>
        </w:rPr>
      </w:pPr>
      <w:r w:rsidRPr="007F6BCE">
        <w:rPr>
          <w:color w:val="000000" w:themeColor="text1"/>
        </w:rPr>
        <w:t xml:space="preserve">Institution </w:t>
      </w:r>
    </w:p>
    <w:p w:rsidR="003730D9" w:rsidRPr="007F6BCE" w:rsidRDefault="003730D9" w:rsidP="003730D9">
      <w:pPr>
        <w:pStyle w:val="NormalWeb"/>
        <w:spacing w:before="0" w:beforeAutospacing="0" w:after="0" w:afterAutospacing="0" w:line="480" w:lineRule="auto"/>
        <w:jc w:val="center"/>
        <w:rPr>
          <w:color w:val="000000" w:themeColor="text1"/>
        </w:rPr>
      </w:pPr>
      <w:r w:rsidRPr="007F6BCE">
        <w:rPr>
          <w:color w:val="000000" w:themeColor="text1"/>
        </w:rPr>
        <w:t>Date</w:t>
      </w: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p>
    <w:p w:rsidR="003730D9" w:rsidRPr="007F6BCE" w:rsidRDefault="003730D9" w:rsidP="003730D9">
      <w:pPr>
        <w:pStyle w:val="NormalWeb"/>
        <w:spacing w:before="0" w:beforeAutospacing="0" w:after="0" w:afterAutospacing="0" w:line="480" w:lineRule="auto"/>
        <w:jc w:val="center"/>
        <w:rPr>
          <w:color w:val="000000" w:themeColor="text1"/>
        </w:rPr>
      </w:pPr>
      <w:r w:rsidRPr="007F6BCE">
        <w:rPr>
          <w:color w:val="000000" w:themeColor="text1"/>
        </w:rPr>
        <w:lastRenderedPageBreak/>
        <w:t>Field Activity Paper</w:t>
      </w:r>
    </w:p>
    <w:p w:rsidR="001120AA" w:rsidRPr="007F6BCE" w:rsidRDefault="001120AA" w:rsidP="003730D9">
      <w:pPr>
        <w:pStyle w:val="NormalWeb"/>
        <w:spacing w:before="0" w:beforeAutospacing="0" w:after="0" w:afterAutospacing="0" w:line="480" w:lineRule="auto"/>
        <w:jc w:val="center"/>
        <w:rPr>
          <w:b/>
          <w:color w:val="000000" w:themeColor="text1"/>
        </w:rPr>
      </w:pPr>
      <w:r w:rsidRPr="007F6BCE">
        <w:rPr>
          <w:b/>
          <w:color w:val="000000" w:themeColor="text1"/>
        </w:rPr>
        <w:t>Part I: Advance Health Care Directive.</w:t>
      </w:r>
    </w:p>
    <w:p w:rsidR="001120AA" w:rsidRPr="007F6BCE" w:rsidRDefault="001120AA" w:rsidP="003730D9">
      <w:pPr>
        <w:pStyle w:val="NormalWeb"/>
        <w:spacing w:before="0" w:beforeAutospacing="0" w:after="0" w:afterAutospacing="0" w:line="480" w:lineRule="auto"/>
        <w:ind w:firstLine="720"/>
        <w:rPr>
          <w:color w:val="000000" w:themeColor="text1"/>
        </w:rPr>
      </w:pPr>
      <w:r w:rsidRPr="007F6BCE">
        <w:rPr>
          <w:color w:val="000000" w:themeColor="text1"/>
        </w:rPr>
        <w:t> Advanced Healt</w:t>
      </w:r>
      <w:r w:rsidR="00972292">
        <w:rPr>
          <w:color w:val="000000" w:themeColor="text1"/>
        </w:rPr>
        <w:t>h Care Directive illustrates a legal document</w:t>
      </w:r>
      <w:r w:rsidRPr="007F6BCE">
        <w:rPr>
          <w:color w:val="000000" w:themeColor="text1"/>
        </w:rPr>
        <w:t xml:space="preserve"> that enable</w:t>
      </w:r>
      <w:r w:rsidR="00972292">
        <w:rPr>
          <w:color w:val="000000" w:themeColor="text1"/>
        </w:rPr>
        <w:t>s</w:t>
      </w:r>
      <w:r w:rsidRPr="007F6BCE">
        <w:rPr>
          <w:color w:val="000000" w:themeColor="text1"/>
        </w:rPr>
        <w:t xml:space="preserve"> an individual to plan for as well as communicate the end-of-life wishes if the person is not in a position to communicate a living will in addition to a healthcare power of attorney. The selected advance health care directive is “</w:t>
      </w:r>
      <w:r w:rsidRPr="007F6BCE">
        <w:rPr>
          <w:rStyle w:val="Emphasis"/>
          <w:color w:val="000000" w:themeColor="text1"/>
        </w:rPr>
        <w:t>CALIFORNIA Advance Directive Planning for Important Health Care Decisions</w:t>
      </w:r>
      <w:r w:rsidRPr="007F6BCE">
        <w:rPr>
          <w:color w:val="000000" w:themeColor="text1"/>
        </w:rPr>
        <w:t>” obtained from the website of the Caring Info via </w:t>
      </w:r>
      <w:hyperlink r:id="rId6" w:tgtFrame="_blank" w:history="1">
        <w:r w:rsidRPr="003730D9">
          <w:rPr>
            <w:rStyle w:val="Hyperlink"/>
            <w:color w:val="4A6EE0"/>
          </w:rPr>
          <w:t>www.caringinfo.org</w:t>
        </w:r>
      </w:hyperlink>
      <w:r w:rsidRPr="003730D9">
        <w:rPr>
          <w:color w:val="1C1E29"/>
        </w:rPr>
        <w:t xml:space="preserve">. </w:t>
      </w:r>
      <w:r w:rsidRPr="007F6BCE">
        <w:rPr>
          <w:color w:val="000000" w:themeColor="text1"/>
        </w:rPr>
        <w:t>The primary intent of this organization is to encourage health care consum</w:t>
      </w:r>
      <w:r w:rsidR="00972292">
        <w:rPr>
          <w:color w:val="000000" w:themeColor="text1"/>
        </w:rPr>
        <w:t>er’s engagement to improve</w:t>
      </w:r>
      <w:r w:rsidRPr="007F6BCE">
        <w:rPr>
          <w:color w:val="000000" w:themeColor="text1"/>
        </w:rPr>
        <w:t xml:space="preserve"> care at the end of life (Caring Info, 2018). The selected advanced directive (AD) illustrates direct compliance to state law of California, that is, the End of Life Option Act. California state </w:t>
      </w:r>
      <w:r w:rsidR="00972292">
        <w:rPr>
          <w:color w:val="000000" w:themeColor="text1"/>
        </w:rPr>
        <w:t>law allows terminally ill adult</w:t>
      </w:r>
      <w:r w:rsidRPr="007F6BCE">
        <w:rPr>
          <w:color w:val="000000" w:themeColor="text1"/>
        </w:rPr>
        <w:t xml:space="preserve"> patients with the capacity to come up with accurate medical decisions to be prescribed an aid-in-dying medication if the outstanding conditions are met.   </w:t>
      </w:r>
    </w:p>
    <w:p w:rsidR="001120AA" w:rsidRPr="007F6BCE" w:rsidRDefault="001120AA" w:rsidP="003730D9">
      <w:pPr>
        <w:pStyle w:val="NormalWeb"/>
        <w:spacing w:before="0" w:beforeAutospacing="0" w:after="0" w:afterAutospacing="0" w:line="480" w:lineRule="auto"/>
        <w:ind w:firstLine="720"/>
        <w:rPr>
          <w:color w:val="000000" w:themeColor="text1"/>
        </w:rPr>
      </w:pPr>
      <w:r w:rsidRPr="007F6BCE">
        <w:rPr>
          <w:color w:val="000000" w:themeColor="text1"/>
        </w:rPr>
        <w:t xml:space="preserve">The AD of California works by encouraging people </w:t>
      </w:r>
      <w:r w:rsidR="003730D9" w:rsidRPr="007F6BCE">
        <w:rPr>
          <w:color w:val="000000" w:themeColor="text1"/>
        </w:rPr>
        <w:t>to make</w:t>
      </w:r>
      <w:r w:rsidRPr="007F6BCE">
        <w:rPr>
          <w:color w:val="000000" w:themeColor="text1"/>
        </w:rPr>
        <w:t xml:space="preserve"> highly informed decisions regarding end-of-life care and services. Through the nation’s community engagement campaign, the AD enables people to learn about varied options for end-of-life services and care. The campaign encourages people to implement plans to ensure that their wishes are honored and that they voice decisions to family, friends, and healthcare givers (</w:t>
      </w:r>
      <w:r w:rsidRPr="007F6BCE">
        <w:rPr>
          <w:rStyle w:val="Strong"/>
          <w:b w:val="0"/>
          <w:color w:val="000000" w:themeColor="text1"/>
        </w:rPr>
        <w:t>Caring Info, 2018)</w:t>
      </w:r>
      <w:r w:rsidRPr="007F6BCE">
        <w:rPr>
          <w:color w:val="000000" w:themeColor="text1"/>
        </w:rPr>
        <w:t xml:space="preserve">. It also enables people to engage in personal or community efforts to improve end-of-life care. For every Californian to enjoy services under the legal document (California Advance Health Care Directive), he or she must complete the five major parts of the AD. At first, one is required to define a power of attorney for health care designation. The individual must provide personal guidelines by stating his or her state’s living will, which may come in effect when a specific condition arises. The other step entails the declaration of personal wishes regarding organ </w:t>
      </w:r>
      <w:r w:rsidRPr="007F6BCE">
        <w:rPr>
          <w:color w:val="000000" w:themeColor="text1"/>
        </w:rPr>
        <w:lastRenderedPageBreak/>
        <w:t>donation. The AD holder is also required to designate a physician to have primary responsibility for his or her health care (</w:t>
      </w:r>
      <w:r w:rsidRPr="007F6BCE">
        <w:rPr>
          <w:rStyle w:val="Strong"/>
          <w:b w:val="0"/>
          <w:color w:val="000000" w:themeColor="text1"/>
        </w:rPr>
        <w:t>Pozgar, 2016).</w:t>
      </w:r>
      <w:r w:rsidRPr="007F6BCE">
        <w:rPr>
          <w:color w:val="000000" w:themeColor="text1"/>
        </w:rPr>
        <w:t> Lastly, one must provide a signature and witnessing provisions so that the documents will be effective. The Californian AD also outlines the role of physicians and other health caregivers in the context for giving the end of life care for a patient who has already subscribed to the policy. As evident, the California Advance Health Care Directive serves as a roadmap to successful patient care based on the principle of patient’s autonomy in addition to other ethical considerations.</w:t>
      </w:r>
    </w:p>
    <w:p w:rsidR="001120AA" w:rsidRPr="007F6BCE" w:rsidRDefault="001120AA" w:rsidP="003730D9">
      <w:pPr>
        <w:pStyle w:val="NormalWeb"/>
        <w:spacing w:before="0" w:beforeAutospacing="0" w:after="0" w:afterAutospacing="0" w:line="480" w:lineRule="auto"/>
        <w:ind w:firstLine="720"/>
        <w:rPr>
          <w:color w:val="000000" w:themeColor="text1"/>
        </w:rPr>
      </w:pPr>
      <w:r w:rsidRPr="007F6BCE">
        <w:rPr>
          <w:color w:val="000000" w:themeColor="text1"/>
        </w:rPr>
        <w:t xml:space="preserve">It was very hard to complete the AD. I was able to define a power of attorney for health care by naming the individual who would be suitable for making health care decision in case I am unable to meet such a </w:t>
      </w:r>
      <w:r w:rsidR="00972292">
        <w:rPr>
          <w:color w:val="000000" w:themeColor="text1"/>
        </w:rPr>
        <w:t>decision. The form informed comes</w:t>
      </w:r>
      <w:r w:rsidRPr="007F6BCE">
        <w:rPr>
          <w:color w:val="000000" w:themeColor="text1"/>
        </w:rPr>
        <w:t xml:space="preserve"> about when the agent’s authority becomes effective in addition to the agent’s obligations. It gave the understanding that the AD is meant for the end of life decisions and not to prolong the life of an individual. The form guided me to state my feelings, wishes, and my interests regarding the donation of organs.</w:t>
      </w:r>
    </w:p>
    <w:p w:rsidR="001120AA" w:rsidRPr="007F6BCE" w:rsidRDefault="001120AA" w:rsidP="003730D9">
      <w:pPr>
        <w:pStyle w:val="NormalWeb"/>
        <w:spacing w:before="0" w:beforeAutospacing="0" w:after="0" w:afterAutospacing="0" w:line="480" w:lineRule="auto"/>
        <w:jc w:val="center"/>
        <w:rPr>
          <w:color w:val="000000" w:themeColor="text1"/>
        </w:rPr>
      </w:pPr>
      <w:r w:rsidRPr="007F6BCE">
        <w:rPr>
          <w:rStyle w:val="Strong"/>
          <w:color w:val="000000" w:themeColor="text1"/>
        </w:rPr>
        <w:t>Part II</w:t>
      </w:r>
      <w:r w:rsidR="003730D9" w:rsidRPr="007F6BCE">
        <w:rPr>
          <w:rStyle w:val="Strong"/>
          <w:color w:val="000000" w:themeColor="text1"/>
        </w:rPr>
        <w:t>:</w:t>
      </w:r>
      <w:r w:rsidR="00F34294">
        <w:rPr>
          <w:rStyle w:val="Strong"/>
          <w:color w:val="000000" w:themeColor="text1"/>
        </w:rPr>
        <w:t xml:space="preserve"> </w:t>
      </w:r>
      <w:r w:rsidR="003730D9" w:rsidRPr="007F6BCE">
        <w:rPr>
          <w:rStyle w:val="Strong"/>
          <w:color w:val="000000" w:themeColor="text1"/>
        </w:rPr>
        <w:t>Physician Orders for Life-Sustaining Treatment (POLST) Form</w:t>
      </w:r>
    </w:p>
    <w:p w:rsidR="001120AA" w:rsidRPr="007F6BCE" w:rsidRDefault="001120AA" w:rsidP="003730D9">
      <w:pPr>
        <w:pStyle w:val="NormalWeb"/>
        <w:spacing w:before="0" w:beforeAutospacing="0" w:after="0" w:afterAutospacing="0" w:line="480" w:lineRule="auto"/>
        <w:ind w:firstLine="720"/>
        <w:rPr>
          <w:color w:val="000000" w:themeColor="text1"/>
        </w:rPr>
      </w:pPr>
      <w:r w:rsidRPr="007F6BCE">
        <w:rPr>
          <w:rStyle w:val="Strong"/>
          <w:b w:val="0"/>
          <w:color w:val="000000" w:themeColor="text1"/>
        </w:rPr>
        <w:t>According to Washington State Hospital Association, Physician Orders for Life-Sustaining Treatment (POLST) Form is a technical tool that effectively communicates the wishes of the terminally ill patient to limit life-sustaining medical treatment as he moves from one care setting to another (</w:t>
      </w:r>
      <w:r w:rsidRPr="007F6BCE">
        <w:rPr>
          <w:color w:val="000000" w:themeColor="text1"/>
        </w:rPr>
        <w:t>Thomas &amp; Sabatino, 2017)</w:t>
      </w:r>
      <w:r w:rsidRPr="007F6BCE">
        <w:rPr>
          <w:rStyle w:val="Strong"/>
          <w:b w:val="0"/>
          <w:color w:val="000000" w:themeColor="text1"/>
        </w:rPr>
        <w:t>. The form illustrates that there is a tremendous amount of emotions involved when it comes</w:t>
      </w:r>
      <w:r w:rsidR="00972292">
        <w:rPr>
          <w:rStyle w:val="Strong"/>
          <w:b w:val="0"/>
          <w:color w:val="000000" w:themeColor="text1"/>
        </w:rPr>
        <w:t xml:space="preserve"> to</w:t>
      </w:r>
      <w:r w:rsidRPr="007F6BCE">
        <w:rPr>
          <w:rStyle w:val="Strong"/>
          <w:b w:val="0"/>
          <w:color w:val="000000" w:themeColor="text1"/>
        </w:rPr>
        <w:t xml:space="preserve"> time to define what type of care the patient wants to be ordered by his or her physician in preparation for possible life-threatening medical events. Overall, the POLST form facilitates the entire decision</w:t>
      </w:r>
      <w:r w:rsidR="00972292">
        <w:rPr>
          <w:rStyle w:val="Strong"/>
          <w:b w:val="0"/>
          <w:color w:val="000000" w:themeColor="text1"/>
        </w:rPr>
        <w:t xml:space="preserve"> making</w:t>
      </w:r>
      <w:r w:rsidRPr="007F6BCE">
        <w:rPr>
          <w:rStyle w:val="Strong"/>
          <w:b w:val="0"/>
          <w:color w:val="000000" w:themeColor="text1"/>
        </w:rPr>
        <w:t xml:space="preserve"> process. </w:t>
      </w:r>
    </w:p>
    <w:p w:rsidR="001120AA" w:rsidRPr="007F6BCE" w:rsidRDefault="001120AA" w:rsidP="003730D9">
      <w:pPr>
        <w:pStyle w:val="NormalWeb"/>
        <w:spacing w:before="0" w:beforeAutospacing="0" w:after="0" w:afterAutospacing="0" w:line="480" w:lineRule="auto"/>
        <w:ind w:firstLine="720"/>
        <w:rPr>
          <w:color w:val="000000" w:themeColor="text1"/>
        </w:rPr>
      </w:pPr>
      <w:r w:rsidRPr="007F6BCE">
        <w:rPr>
          <w:rStyle w:val="Strong"/>
          <w:b w:val="0"/>
          <w:color w:val="000000" w:themeColor="text1"/>
        </w:rPr>
        <w:t>A POLST form should be completed when a terminal</w:t>
      </w:r>
      <w:r w:rsidR="00972292">
        <w:rPr>
          <w:rStyle w:val="Strong"/>
          <w:b w:val="0"/>
          <w:color w:val="000000" w:themeColor="text1"/>
        </w:rPr>
        <w:t>ly ill patient makes the request</w:t>
      </w:r>
      <w:r w:rsidRPr="007F6BCE">
        <w:rPr>
          <w:rStyle w:val="Strong"/>
          <w:b w:val="0"/>
          <w:color w:val="000000" w:themeColor="text1"/>
        </w:rPr>
        <w:t xml:space="preserve"> to be assisted to die, but after a thorough clinical estimation that the patient is not able to last more </w:t>
      </w:r>
      <w:r w:rsidRPr="007F6BCE">
        <w:rPr>
          <w:rStyle w:val="Strong"/>
          <w:b w:val="0"/>
          <w:color w:val="000000" w:themeColor="text1"/>
        </w:rPr>
        <w:lastRenderedPageBreak/>
        <w:t>than six months or a year due to the resulting illness </w:t>
      </w:r>
      <w:r w:rsidRPr="007F6BCE">
        <w:rPr>
          <w:color w:val="000000" w:themeColor="text1"/>
        </w:rPr>
        <w:t>(</w:t>
      </w:r>
      <w:r w:rsidRPr="007F6BCE">
        <w:rPr>
          <w:rStyle w:val="Strong"/>
          <w:b w:val="0"/>
          <w:color w:val="000000" w:themeColor="text1"/>
        </w:rPr>
        <w:t>Pozgar, 2016). Both forms define a third party, that is a surrogate decision-maker who is capable of making a rational decision regarding the patient’s life but with strict regulation of the attached guidelines. The POLST form is completed by a qualified health care professional in conversation with the patient (</w:t>
      </w:r>
      <w:r w:rsidRPr="007F6BCE">
        <w:rPr>
          <w:color w:val="000000" w:themeColor="text1"/>
        </w:rPr>
        <w:t>Thomas &amp; Sabatino, 2017)</w:t>
      </w:r>
      <w:r w:rsidRPr="007F6BCE">
        <w:rPr>
          <w:rStyle w:val="Strong"/>
          <w:b w:val="0"/>
          <w:color w:val="000000" w:themeColor="text1"/>
        </w:rPr>
        <w:t>. Notably, a POLST form comes out as a medical order, and it must be signed by health care professionals to remain valid. However, in most states, the patient or any appointed surrogate is required to sign the form. The attending physician’s signature on the POLST is essential since it serves as a tool for validation and hence making it a legal document. </w:t>
      </w:r>
    </w:p>
    <w:p w:rsidR="001120AA" w:rsidRPr="007F6BCE" w:rsidRDefault="001120AA" w:rsidP="003730D9">
      <w:pPr>
        <w:pStyle w:val="NormalWeb"/>
        <w:spacing w:before="0" w:beforeAutospacing="0" w:after="0" w:afterAutospacing="0" w:line="480" w:lineRule="auto"/>
        <w:jc w:val="center"/>
        <w:rPr>
          <w:color w:val="000000" w:themeColor="text1"/>
        </w:rPr>
      </w:pPr>
      <w:r w:rsidRPr="007F6BCE">
        <w:rPr>
          <w:rStyle w:val="Strong"/>
          <w:color w:val="000000" w:themeColor="text1"/>
        </w:rPr>
        <w:t>Part III</w:t>
      </w:r>
      <w:r w:rsidR="003730D9" w:rsidRPr="007F6BCE">
        <w:rPr>
          <w:rStyle w:val="Strong"/>
          <w:color w:val="000000" w:themeColor="text1"/>
        </w:rPr>
        <w:t>: Summary and Conclusion</w:t>
      </w:r>
    </w:p>
    <w:p w:rsidR="001120AA" w:rsidRPr="007F6BCE" w:rsidRDefault="001120AA" w:rsidP="003730D9">
      <w:pPr>
        <w:pStyle w:val="NormalWeb"/>
        <w:spacing w:before="0" w:beforeAutospacing="0" w:after="0" w:afterAutospacing="0" w:line="480" w:lineRule="auto"/>
        <w:ind w:firstLine="720"/>
        <w:rPr>
          <w:color w:val="000000" w:themeColor="text1"/>
        </w:rPr>
      </w:pPr>
      <w:r w:rsidRPr="007F6BCE">
        <w:rPr>
          <w:rStyle w:val="Strong"/>
          <w:b w:val="0"/>
          <w:color w:val="000000" w:themeColor="text1"/>
        </w:rPr>
        <w:t xml:space="preserve">Analytically, there exists a greater correlation amid the Advance Health Care Directive and a POLST form in that they all show empathy and compassion to the terminally ill patients. They pave the way for legal documentation of measures which should be put in place to address the risks for addressing the end-of-life related diseases. AD is meant to be completed by an individual, whether in good health or not while the POLST form is completed when the patient is terminally ill (Butts, 2016). From another point of view, </w:t>
      </w:r>
      <w:r w:rsidR="00972292">
        <w:rPr>
          <w:rStyle w:val="Strong"/>
          <w:b w:val="0"/>
          <w:color w:val="000000" w:themeColor="text1"/>
        </w:rPr>
        <w:t xml:space="preserve">a </w:t>
      </w:r>
      <w:r w:rsidRPr="007F6BCE">
        <w:rPr>
          <w:rStyle w:val="Strong"/>
          <w:b w:val="0"/>
          <w:color w:val="000000" w:themeColor="text1"/>
        </w:rPr>
        <w:t>POLST form gains</w:t>
      </w:r>
      <w:r w:rsidR="00972292">
        <w:rPr>
          <w:rStyle w:val="Strong"/>
          <w:b w:val="0"/>
          <w:color w:val="000000" w:themeColor="text1"/>
        </w:rPr>
        <w:t xml:space="preserve"> validation immediately after it has been </w:t>
      </w:r>
      <w:r w:rsidRPr="007F6BCE">
        <w:rPr>
          <w:rStyle w:val="Strong"/>
          <w:b w:val="0"/>
          <w:color w:val="000000" w:themeColor="text1"/>
        </w:rPr>
        <w:t>signed by a health care professional while the AD becomes effective sooner after the patient becomes incapable of making a worthwhile decision regarding his end of life. </w:t>
      </w:r>
    </w:p>
    <w:p w:rsidR="001120AA" w:rsidRPr="007F6BCE" w:rsidRDefault="001120AA" w:rsidP="003730D9">
      <w:pPr>
        <w:pStyle w:val="NormalWeb"/>
        <w:spacing w:before="0" w:beforeAutospacing="0" w:after="0" w:afterAutospacing="0" w:line="480" w:lineRule="auto"/>
        <w:ind w:firstLine="720"/>
        <w:rPr>
          <w:color w:val="000000" w:themeColor="text1"/>
        </w:rPr>
      </w:pPr>
      <w:r w:rsidRPr="007F6BCE">
        <w:rPr>
          <w:rStyle w:val="Strong"/>
          <w:b w:val="0"/>
          <w:color w:val="000000" w:themeColor="text1"/>
        </w:rPr>
        <w:t xml:space="preserve">Registered nurses are the closest companions for every patient and hence they play a bigger role in ensuring patients safety, confidentiality, and adherence to the principle of patient autonomy. As evident, health care professionals are only required to provide effective care for the patient based on their will and wishes. In this case, registered nurses are required to monitor and countercheck the patient’s AD based on the patient’s wishes and preferences which were </w:t>
      </w:r>
      <w:r w:rsidRPr="007F6BCE">
        <w:rPr>
          <w:rStyle w:val="Strong"/>
          <w:b w:val="0"/>
          <w:color w:val="000000" w:themeColor="text1"/>
        </w:rPr>
        <w:lastRenderedPageBreak/>
        <w:t>defined and documented when the patient was in a position to make rational decisions (Butts, 2016). The RN is also mandated to advocate for the patient’s autonomy by making sure that the health care professionals have respect to a power of attorney, which again defines the role of a surrogate decision-maker. RNs also stand a chance to educate patients regarding the probable alternatives for health care before subscribing to the end of life choice.</w:t>
      </w: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F92123" w:rsidRDefault="00F92123" w:rsidP="003730D9">
      <w:pPr>
        <w:pStyle w:val="NormalWeb"/>
        <w:spacing w:before="0" w:beforeAutospacing="0" w:after="0" w:afterAutospacing="0" w:line="480" w:lineRule="auto"/>
        <w:jc w:val="center"/>
        <w:rPr>
          <w:rStyle w:val="Strong"/>
          <w:b w:val="0"/>
          <w:color w:val="000000" w:themeColor="text1"/>
        </w:rPr>
      </w:pPr>
    </w:p>
    <w:p w:rsidR="001120AA" w:rsidRPr="007F6BCE" w:rsidRDefault="001120AA" w:rsidP="003730D9">
      <w:pPr>
        <w:pStyle w:val="NormalWeb"/>
        <w:spacing w:before="0" w:beforeAutospacing="0" w:after="0" w:afterAutospacing="0" w:line="480" w:lineRule="auto"/>
        <w:jc w:val="center"/>
        <w:rPr>
          <w:color w:val="000000" w:themeColor="text1"/>
        </w:rPr>
      </w:pPr>
      <w:r w:rsidRPr="007F6BCE">
        <w:rPr>
          <w:rStyle w:val="Strong"/>
          <w:b w:val="0"/>
          <w:color w:val="000000" w:themeColor="text1"/>
        </w:rPr>
        <w:lastRenderedPageBreak/>
        <w:t>References</w:t>
      </w:r>
    </w:p>
    <w:p w:rsidR="001120AA" w:rsidRPr="007F6BCE" w:rsidRDefault="001120AA" w:rsidP="003730D9">
      <w:pPr>
        <w:spacing w:line="480" w:lineRule="auto"/>
        <w:ind w:left="720" w:hanging="720"/>
        <w:rPr>
          <w:rFonts w:ascii="Times New Roman" w:eastAsia="Times New Roman" w:hAnsi="Times New Roman" w:cs="Times New Roman"/>
          <w:bCs/>
          <w:color w:val="000000" w:themeColor="text1"/>
          <w:sz w:val="24"/>
          <w:szCs w:val="24"/>
          <w:bdr w:val="none" w:sz="0" w:space="0" w:color="auto" w:frame="1"/>
        </w:rPr>
      </w:pPr>
      <w:r w:rsidRPr="007F6BCE">
        <w:rPr>
          <w:rFonts w:ascii="Times New Roman" w:eastAsia="Times New Roman" w:hAnsi="Times New Roman" w:cs="Times New Roman"/>
          <w:bCs/>
          <w:color w:val="000000" w:themeColor="text1"/>
          <w:sz w:val="24"/>
          <w:szCs w:val="24"/>
          <w:bdr w:val="none" w:sz="0" w:space="0" w:color="auto" w:frame="1"/>
        </w:rPr>
        <w:t>Butts, J. B. (2016). Nursing Ethics, 4th Edition. [Bookshelf Online]. Retrieve from</w:t>
      </w:r>
    </w:p>
    <w:p w:rsidR="001120AA" w:rsidRPr="007F6BCE" w:rsidRDefault="001120AA" w:rsidP="003730D9">
      <w:pPr>
        <w:spacing w:line="480" w:lineRule="auto"/>
        <w:ind w:left="720" w:hanging="720"/>
        <w:rPr>
          <w:rFonts w:ascii="Times New Roman" w:eastAsia="Times New Roman" w:hAnsi="Times New Roman" w:cs="Times New Roman"/>
          <w:bCs/>
          <w:color w:val="000000" w:themeColor="text1"/>
          <w:sz w:val="24"/>
          <w:szCs w:val="24"/>
          <w:bdr w:val="none" w:sz="0" w:space="0" w:color="auto" w:frame="1"/>
        </w:rPr>
      </w:pPr>
      <w:r w:rsidRPr="007F6BCE">
        <w:rPr>
          <w:rFonts w:ascii="Times New Roman" w:eastAsia="Times New Roman" w:hAnsi="Times New Roman" w:cs="Times New Roman"/>
          <w:bCs/>
          <w:color w:val="000000" w:themeColor="text1"/>
          <w:sz w:val="24"/>
          <w:szCs w:val="24"/>
          <w:bdr w:val="none" w:sz="0" w:space="0" w:color="auto" w:frame="1"/>
        </w:rPr>
        <w:t>Caring Info, (2018). CALIFORNIA Advance Directive Planning for Important Health Care</w:t>
      </w:r>
    </w:p>
    <w:p w:rsidR="001120AA" w:rsidRPr="003730D9" w:rsidRDefault="001120AA" w:rsidP="003730D9">
      <w:pPr>
        <w:spacing w:line="480" w:lineRule="auto"/>
        <w:ind w:left="720" w:hanging="720"/>
        <w:rPr>
          <w:rFonts w:ascii="Times New Roman" w:eastAsia="Times New Roman" w:hAnsi="Times New Roman" w:cs="Times New Roman"/>
          <w:bCs/>
          <w:color w:val="000000"/>
          <w:sz w:val="24"/>
          <w:szCs w:val="24"/>
          <w:bdr w:val="none" w:sz="0" w:space="0" w:color="auto" w:frame="1"/>
        </w:rPr>
      </w:pPr>
      <w:r w:rsidRPr="007F6BCE">
        <w:rPr>
          <w:rFonts w:ascii="Times New Roman" w:eastAsia="Times New Roman" w:hAnsi="Times New Roman" w:cs="Times New Roman"/>
          <w:bCs/>
          <w:color w:val="000000" w:themeColor="text1"/>
          <w:sz w:val="24"/>
          <w:szCs w:val="24"/>
          <w:bdr w:val="none" w:sz="0" w:space="0" w:color="auto" w:frame="1"/>
        </w:rPr>
        <w:t>Decisions. Caringinfo.org</w:t>
      </w:r>
      <w:r w:rsidRPr="003730D9">
        <w:rPr>
          <w:rFonts w:ascii="Times New Roman" w:eastAsia="Times New Roman" w:hAnsi="Times New Roman" w:cs="Times New Roman"/>
          <w:bCs/>
          <w:color w:val="000000"/>
          <w:sz w:val="24"/>
          <w:szCs w:val="24"/>
          <w:bdr w:val="none" w:sz="0" w:space="0" w:color="auto" w:frame="1"/>
        </w:rPr>
        <w:t xml:space="preserve">. </w:t>
      </w:r>
      <w:hyperlink r:id="rId7" w:history="1">
        <w:r w:rsidRPr="003730D9">
          <w:rPr>
            <w:rStyle w:val="Hyperlink"/>
            <w:rFonts w:ascii="Times New Roman" w:eastAsia="Times New Roman" w:hAnsi="Times New Roman" w:cs="Times New Roman"/>
            <w:bCs/>
            <w:sz w:val="24"/>
            <w:szCs w:val="24"/>
            <w:bdr w:val="none" w:sz="0" w:space="0" w:color="auto" w:frame="1"/>
          </w:rPr>
          <w:t>http://www.caringinfo.org/files/public/ad/California.pdf</w:t>
        </w:r>
      </w:hyperlink>
    </w:p>
    <w:p w:rsidR="001120AA" w:rsidRPr="003730D9" w:rsidRDefault="00122EAE" w:rsidP="003730D9">
      <w:pPr>
        <w:spacing w:line="480" w:lineRule="auto"/>
        <w:ind w:left="720" w:hanging="720"/>
        <w:rPr>
          <w:rFonts w:ascii="Times New Roman" w:eastAsia="Times New Roman" w:hAnsi="Times New Roman" w:cs="Times New Roman"/>
          <w:bCs/>
          <w:color w:val="000000"/>
          <w:sz w:val="24"/>
          <w:szCs w:val="24"/>
          <w:bdr w:val="none" w:sz="0" w:space="0" w:color="auto" w:frame="1"/>
        </w:rPr>
      </w:pPr>
      <w:hyperlink r:id="rId8" w:anchor="/books/9781284099096/" w:history="1">
        <w:r w:rsidR="001120AA" w:rsidRPr="003730D9">
          <w:rPr>
            <w:rStyle w:val="Hyperlink"/>
            <w:rFonts w:ascii="Times New Roman" w:eastAsia="Times New Roman" w:hAnsi="Times New Roman" w:cs="Times New Roman"/>
            <w:bCs/>
            <w:sz w:val="24"/>
            <w:szCs w:val="24"/>
            <w:bdr w:val="none" w:sz="0" w:space="0" w:color="auto" w:frame="1"/>
          </w:rPr>
          <w:t>https://vsaccess.vitalsource.com/#/books/9781284099096/</w:t>
        </w:r>
      </w:hyperlink>
    </w:p>
    <w:p w:rsidR="001120AA" w:rsidRPr="007F6BCE" w:rsidRDefault="001120AA" w:rsidP="003730D9">
      <w:pPr>
        <w:spacing w:line="480" w:lineRule="auto"/>
        <w:ind w:left="720" w:hanging="720"/>
        <w:rPr>
          <w:rFonts w:ascii="Times New Roman" w:eastAsia="Times New Roman" w:hAnsi="Times New Roman" w:cs="Times New Roman"/>
          <w:bCs/>
          <w:color w:val="000000" w:themeColor="text1"/>
          <w:sz w:val="24"/>
          <w:szCs w:val="24"/>
          <w:bdr w:val="none" w:sz="0" w:space="0" w:color="auto" w:frame="1"/>
        </w:rPr>
      </w:pPr>
      <w:r w:rsidRPr="007F6BCE">
        <w:rPr>
          <w:rFonts w:ascii="Times New Roman" w:eastAsia="Times New Roman" w:hAnsi="Times New Roman" w:cs="Times New Roman"/>
          <w:bCs/>
          <w:color w:val="000000" w:themeColor="text1"/>
          <w:sz w:val="24"/>
          <w:szCs w:val="24"/>
          <w:bdr w:val="none" w:sz="0" w:space="0" w:color="auto" w:frame="1"/>
        </w:rPr>
        <w:t>Pozgar, G. D., (2016). Legal and ethical issues for health professionals. Burlington, MA: Jones&amp;amp; Bartlett Learning.</w:t>
      </w:r>
    </w:p>
    <w:p w:rsidR="001120AA" w:rsidRPr="007F6BCE" w:rsidRDefault="001120AA" w:rsidP="003730D9">
      <w:pPr>
        <w:spacing w:line="480" w:lineRule="auto"/>
        <w:ind w:left="720" w:hanging="720"/>
        <w:rPr>
          <w:rFonts w:ascii="Times New Roman" w:hAnsi="Times New Roman" w:cs="Times New Roman"/>
          <w:color w:val="000000" w:themeColor="text1"/>
          <w:sz w:val="24"/>
          <w:szCs w:val="24"/>
          <w:shd w:val="clear" w:color="auto" w:fill="FFFFFF"/>
        </w:rPr>
      </w:pPr>
      <w:r w:rsidRPr="007F6BCE">
        <w:rPr>
          <w:rFonts w:ascii="Times New Roman" w:hAnsi="Times New Roman" w:cs="Times New Roman"/>
          <w:color w:val="000000" w:themeColor="text1"/>
          <w:sz w:val="24"/>
          <w:szCs w:val="24"/>
          <w:shd w:val="clear" w:color="auto" w:fill="FFFFFF"/>
        </w:rPr>
        <w:t>Thomas, J., &amp; Sabatino, C. (2017). Patient Preferences, Policy, and POLST. </w:t>
      </w:r>
      <w:r w:rsidRPr="007F6BCE">
        <w:rPr>
          <w:rFonts w:ascii="Times New Roman" w:hAnsi="Times New Roman" w:cs="Times New Roman"/>
          <w:i/>
          <w:iCs/>
          <w:color w:val="000000" w:themeColor="text1"/>
          <w:sz w:val="24"/>
          <w:szCs w:val="24"/>
          <w:shd w:val="clear" w:color="auto" w:fill="FFFFFF"/>
        </w:rPr>
        <w:t>Generations</w:t>
      </w:r>
      <w:r w:rsidRPr="007F6BCE">
        <w:rPr>
          <w:rFonts w:ascii="Times New Roman" w:hAnsi="Times New Roman" w:cs="Times New Roman"/>
          <w:color w:val="000000" w:themeColor="text1"/>
          <w:sz w:val="24"/>
          <w:szCs w:val="24"/>
          <w:shd w:val="clear" w:color="auto" w:fill="FFFFFF"/>
        </w:rPr>
        <w:t>, </w:t>
      </w:r>
      <w:r w:rsidRPr="007F6BCE">
        <w:rPr>
          <w:rFonts w:ascii="Times New Roman" w:hAnsi="Times New Roman" w:cs="Times New Roman"/>
          <w:i/>
          <w:iCs/>
          <w:color w:val="000000" w:themeColor="text1"/>
          <w:sz w:val="24"/>
          <w:szCs w:val="24"/>
          <w:shd w:val="clear" w:color="auto" w:fill="FFFFFF"/>
        </w:rPr>
        <w:t>41</w:t>
      </w:r>
      <w:r w:rsidRPr="007F6BCE">
        <w:rPr>
          <w:rFonts w:ascii="Times New Roman" w:hAnsi="Times New Roman" w:cs="Times New Roman"/>
          <w:color w:val="000000" w:themeColor="text1"/>
          <w:sz w:val="24"/>
          <w:szCs w:val="24"/>
          <w:shd w:val="clear" w:color="auto" w:fill="FFFFFF"/>
        </w:rPr>
        <w:t>(1), 102-109.</w:t>
      </w:r>
    </w:p>
    <w:sectPr w:rsidR="001120AA" w:rsidRPr="007F6BCE" w:rsidSect="003730D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D2E" w:rsidRDefault="00650D2E" w:rsidP="00215225">
      <w:pPr>
        <w:spacing w:after="0" w:line="240" w:lineRule="auto"/>
      </w:pPr>
      <w:r>
        <w:separator/>
      </w:r>
    </w:p>
  </w:endnote>
  <w:endnote w:type="continuationSeparator" w:id="1">
    <w:p w:rsidR="00650D2E" w:rsidRDefault="00650D2E" w:rsidP="002152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D2E" w:rsidRDefault="00650D2E" w:rsidP="00215225">
      <w:pPr>
        <w:spacing w:after="0" w:line="240" w:lineRule="auto"/>
      </w:pPr>
      <w:r>
        <w:separator/>
      </w:r>
    </w:p>
  </w:footnote>
  <w:footnote w:type="continuationSeparator" w:id="1">
    <w:p w:rsidR="00650D2E" w:rsidRDefault="00650D2E" w:rsidP="002152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D9" w:rsidRPr="003730D9" w:rsidRDefault="003730D9">
    <w:pPr>
      <w:pStyle w:val="Header"/>
      <w:rPr>
        <w:rFonts w:ascii="Times New Roman" w:hAnsi="Times New Roman" w:cs="Times New Roman"/>
        <w:sz w:val="24"/>
        <w:szCs w:val="24"/>
      </w:rPr>
    </w:pPr>
    <w:r w:rsidRPr="003730D9">
      <w:rPr>
        <w:rFonts w:ascii="Times New Roman" w:hAnsi="Times New Roman" w:cs="Times New Roman"/>
        <w:color w:val="1C1E29"/>
        <w:sz w:val="24"/>
        <w:szCs w:val="24"/>
      </w:rPr>
      <w:t>FIELD ACTIVITY PAPER</w:t>
    </w:r>
    <w:r w:rsidRPr="003730D9">
      <w:rPr>
        <w:rFonts w:ascii="Times New Roman" w:hAnsi="Times New Roman" w:cs="Times New Roman"/>
        <w:sz w:val="24"/>
        <w:szCs w:val="24"/>
      </w:rPr>
      <w:tab/>
    </w:r>
    <w:r w:rsidRPr="003730D9">
      <w:rPr>
        <w:rFonts w:ascii="Times New Roman" w:hAnsi="Times New Roman" w:cs="Times New Roman"/>
        <w:sz w:val="24"/>
        <w:szCs w:val="24"/>
      </w:rPr>
      <w:tab/>
    </w:r>
    <w:sdt>
      <w:sdtPr>
        <w:rPr>
          <w:rFonts w:ascii="Times New Roman" w:hAnsi="Times New Roman" w:cs="Times New Roman"/>
          <w:sz w:val="24"/>
          <w:szCs w:val="24"/>
        </w:rPr>
        <w:id w:val="-1131481612"/>
        <w:docPartObj>
          <w:docPartGallery w:val="Page Numbers (Top of Page)"/>
          <w:docPartUnique/>
        </w:docPartObj>
      </w:sdtPr>
      <w:sdtEndPr>
        <w:rPr>
          <w:noProof/>
        </w:rPr>
      </w:sdtEndPr>
      <w:sdtContent>
        <w:r w:rsidR="00122EAE" w:rsidRPr="003730D9">
          <w:rPr>
            <w:rFonts w:ascii="Times New Roman" w:hAnsi="Times New Roman" w:cs="Times New Roman"/>
            <w:sz w:val="24"/>
            <w:szCs w:val="24"/>
          </w:rPr>
          <w:fldChar w:fldCharType="begin"/>
        </w:r>
        <w:r w:rsidRPr="003730D9">
          <w:rPr>
            <w:rFonts w:ascii="Times New Roman" w:hAnsi="Times New Roman" w:cs="Times New Roman"/>
            <w:sz w:val="24"/>
            <w:szCs w:val="24"/>
          </w:rPr>
          <w:instrText xml:space="preserve"> PAGE   \* MERGEFORMAT </w:instrText>
        </w:r>
        <w:r w:rsidR="00122EAE" w:rsidRPr="003730D9">
          <w:rPr>
            <w:rFonts w:ascii="Times New Roman" w:hAnsi="Times New Roman" w:cs="Times New Roman"/>
            <w:sz w:val="24"/>
            <w:szCs w:val="24"/>
          </w:rPr>
          <w:fldChar w:fldCharType="separate"/>
        </w:r>
        <w:r w:rsidR="00F34294">
          <w:rPr>
            <w:rFonts w:ascii="Times New Roman" w:hAnsi="Times New Roman" w:cs="Times New Roman"/>
            <w:noProof/>
            <w:sz w:val="24"/>
            <w:szCs w:val="24"/>
          </w:rPr>
          <w:t>4</w:t>
        </w:r>
        <w:r w:rsidR="00122EAE" w:rsidRPr="003730D9">
          <w:rPr>
            <w:rFonts w:ascii="Times New Roman" w:hAnsi="Times New Roman" w:cs="Times New Roman"/>
            <w:noProof/>
            <w:sz w:val="24"/>
            <w:szCs w:val="24"/>
          </w:rPr>
          <w:fldChar w:fldCharType="end"/>
        </w:r>
      </w:sdtContent>
    </w:sdt>
  </w:p>
  <w:p w:rsidR="003730D9" w:rsidRPr="003730D9" w:rsidRDefault="003730D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D9" w:rsidRDefault="003730D9" w:rsidP="003730D9">
    <w:pPr>
      <w:pStyle w:val="NormalWeb"/>
      <w:spacing w:before="0" w:beforeAutospacing="0" w:after="0" w:afterAutospacing="0"/>
    </w:pPr>
    <w:r>
      <w:t xml:space="preserve">Running head: </w:t>
    </w:r>
    <w:r>
      <w:rPr>
        <w:color w:val="1C1E29"/>
      </w:rPr>
      <w:t>FIELD ACTIVITY PAPER</w:t>
    </w:r>
    <w:r>
      <w:rPr>
        <w:color w:val="1C1E29"/>
      </w:rPr>
      <w:tab/>
    </w:r>
    <w:r>
      <w:rPr>
        <w:color w:val="1C1E29"/>
      </w:rPr>
      <w:tab/>
    </w:r>
    <w:r>
      <w:rPr>
        <w:color w:val="1C1E29"/>
      </w:rPr>
      <w:tab/>
    </w:r>
    <w:r>
      <w:rPr>
        <w:color w:val="1C1E29"/>
      </w:rPr>
      <w:tab/>
    </w:r>
    <w:r>
      <w:rPr>
        <w:color w:val="1C1E29"/>
      </w:rPr>
      <w:tab/>
    </w:r>
    <w:r>
      <w:rPr>
        <w:color w:val="1C1E29"/>
      </w:rPr>
      <w:tab/>
    </w:r>
    <w:r>
      <w:rPr>
        <w:color w:val="1C1E29"/>
      </w:rPr>
      <w:tab/>
    </w:r>
    <w:sdt>
      <w:sdtPr>
        <w:id w:val="199594478"/>
        <w:docPartObj>
          <w:docPartGallery w:val="Page Numbers (Top of Page)"/>
          <w:docPartUnique/>
        </w:docPartObj>
      </w:sdtPr>
      <w:sdtEndPr>
        <w:rPr>
          <w:noProof/>
        </w:rPr>
      </w:sdtEndPr>
      <w:sdtContent>
        <w:r w:rsidR="00122EAE">
          <w:fldChar w:fldCharType="begin"/>
        </w:r>
        <w:r>
          <w:instrText xml:space="preserve"> PAGE   \* MERGEFORMAT </w:instrText>
        </w:r>
        <w:r w:rsidR="00122EAE">
          <w:fldChar w:fldCharType="separate"/>
        </w:r>
        <w:r w:rsidR="00F34294">
          <w:rPr>
            <w:noProof/>
          </w:rPr>
          <w:t>1</w:t>
        </w:r>
        <w:r w:rsidR="00122EAE">
          <w:rPr>
            <w:noProof/>
          </w:rPr>
          <w:fldChar w:fldCharType="end"/>
        </w:r>
      </w:sdtContent>
    </w:sdt>
  </w:p>
  <w:p w:rsidR="003730D9" w:rsidRDefault="003730D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D06B7A"/>
    <w:rsid w:val="000735E4"/>
    <w:rsid w:val="000A2AC2"/>
    <w:rsid w:val="000B1CB1"/>
    <w:rsid w:val="001120AA"/>
    <w:rsid w:val="00122EAE"/>
    <w:rsid w:val="001E50B4"/>
    <w:rsid w:val="00205B4C"/>
    <w:rsid w:val="00215225"/>
    <w:rsid w:val="002B76DA"/>
    <w:rsid w:val="00330A46"/>
    <w:rsid w:val="003467D6"/>
    <w:rsid w:val="003730D9"/>
    <w:rsid w:val="00430006"/>
    <w:rsid w:val="00452CAB"/>
    <w:rsid w:val="0048751E"/>
    <w:rsid w:val="005C3827"/>
    <w:rsid w:val="00650D2E"/>
    <w:rsid w:val="006C55C4"/>
    <w:rsid w:val="00740A13"/>
    <w:rsid w:val="00761143"/>
    <w:rsid w:val="007F6BCE"/>
    <w:rsid w:val="00822803"/>
    <w:rsid w:val="008849B2"/>
    <w:rsid w:val="00892039"/>
    <w:rsid w:val="008E4844"/>
    <w:rsid w:val="00972292"/>
    <w:rsid w:val="009D3B1C"/>
    <w:rsid w:val="009D40D2"/>
    <w:rsid w:val="009D76AC"/>
    <w:rsid w:val="00A62C33"/>
    <w:rsid w:val="00A92926"/>
    <w:rsid w:val="00A97A8F"/>
    <w:rsid w:val="00B11A78"/>
    <w:rsid w:val="00B37182"/>
    <w:rsid w:val="00B50038"/>
    <w:rsid w:val="00B56375"/>
    <w:rsid w:val="00B63566"/>
    <w:rsid w:val="00BB6C77"/>
    <w:rsid w:val="00BD0561"/>
    <w:rsid w:val="00C971F9"/>
    <w:rsid w:val="00D06B7A"/>
    <w:rsid w:val="00DD4EBB"/>
    <w:rsid w:val="00E65300"/>
    <w:rsid w:val="00E80F9E"/>
    <w:rsid w:val="00F30544"/>
    <w:rsid w:val="00F34294"/>
    <w:rsid w:val="00F921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6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4844"/>
    <w:rPr>
      <w:color w:val="0563C1" w:themeColor="hyperlink"/>
      <w:u w:val="single"/>
    </w:rPr>
  </w:style>
  <w:style w:type="paragraph" w:styleId="Header">
    <w:name w:val="header"/>
    <w:basedOn w:val="Normal"/>
    <w:link w:val="HeaderChar"/>
    <w:uiPriority w:val="99"/>
    <w:unhideWhenUsed/>
    <w:rsid w:val="00215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225"/>
  </w:style>
  <w:style w:type="paragraph" w:styleId="Footer">
    <w:name w:val="footer"/>
    <w:basedOn w:val="Normal"/>
    <w:link w:val="FooterChar"/>
    <w:uiPriority w:val="99"/>
    <w:unhideWhenUsed/>
    <w:rsid w:val="00215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225"/>
  </w:style>
  <w:style w:type="paragraph" w:styleId="NormalWeb">
    <w:name w:val="Normal (Web)"/>
    <w:basedOn w:val="Normal"/>
    <w:uiPriority w:val="99"/>
    <w:unhideWhenUsed/>
    <w:rsid w:val="001120A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120AA"/>
    <w:rPr>
      <w:i/>
      <w:iCs/>
    </w:rPr>
  </w:style>
  <w:style w:type="character" w:styleId="Strong">
    <w:name w:val="Strong"/>
    <w:basedOn w:val="DefaultParagraphFont"/>
    <w:uiPriority w:val="22"/>
    <w:qFormat/>
    <w:rsid w:val="001120AA"/>
    <w:rPr>
      <w:b/>
      <w:bCs/>
    </w:rPr>
  </w:style>
</w:styles>
</file>

<file path=word/webSettings.xml><?xml version="1.0" encoding="utf-8"?>
<w:webSettings xmlns:r="http://schemas.openxmlformats.org/officeDocument/2006/relationships" xmlns:w="http://schemas.openxmlformats.org/wordprocessingml/2006/main">
  <w:divs>
    <w:div w:id="144954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saccess.vitalsource.com/" TargetMode="External"/><Relationship Id="rId3" Type="http://schemas.openxmlformats.org/officeDocument/2006/relationships/webSettings" Target="webSettings.xml"/><Relationship Id="rId7" Type="http://schemas.openxmlformats.org/officeDocument/2006/relationships/hyperlink" Target="http://www.caringinfo.org/files/public/ad/California.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ringinfo.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7349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2019-09-25T13:13:00Z</dcterms:created>
  <dcterms:modified xsi:type="dcterms:W3CDTF">2019-09-25T13:13:00Z</dcterms:modified>
</cp:coreProperties>
</file>